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MDPI62backmatter"/>
        <w:widowControl/>
        <w:suppressAutoHyphens w:val="true"/>
        <w:bidi w:val="0"/>
        <w:snapToGrid w:val="false"/>
        <w:spacing w:lineRule="atLeast" w:line="280" w:before="0" w:after="0"/>
        <w:ind w:left="0" w:right="0" w:hanging="0"/>
        <w:jc w:val="both"/>
        <w:rPr>
          <w:b/>
          <w:b/>
          <w:bCs/>
        </w:rPr>
      </w:pPr>
      <w:r>
        <w:rPr>
          <w:b/>
          <w:bCs/>
        </w:rPr>
        <w:t>Appendix B</w:t>
      </w:r>
    </w:p>
    <w:p>
      <w:pPr>
        <w:pStyle w:val="MDPI62backmatter"/>
        <w:widowControl/>
        <w:suppressAutoHyphens w:val="true"/>
        <w:bidi w:val="0"/>
        <w:snapToGrid w:val="false"/>
        <w:spacing w:lineRule="atLeast" w:line="280" w:before="0" w:after="0"/>
        <w:ind w:left="0" w:right="0" w:hanging="0"/>
        <w:jc w:val="both"/>
        <w:rPr>
          <w:lang w:val="en-GB"/>
        </w:rPr>
      </w:pPr>
      <w:r>
        <w:rPr>
          <w:b/>
          <w:bCs/>
        </w:rPr>
        <w:t>Table B1.</w:t>
      </w:r>
      <w:r>
        <w:rPr/>
        <w:t xml:space="preserve"> Spatial data layers used for computation of  T, Rae, Rrad, and S.</w:t>
      </w:r>
    </w:p>
    <w:tbl>
      <w:tblPr>
        <w:tblW w:w="10035" w:type="dxa"/>
        <w:jc w:val="left"/>
        <w:tblInd w:w="-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firstRow="0" w:noVBand="0" w:lastRow="0" w:firstColumn="0" w:lastColumn="0" w:noHBand="0" w:val="0000"/>
      </w:tblPr>
      <w:tblGrid>
        <w:gridCol w:w="1755"/>
        <w:gridCol w:w="2040"/>
        <w:gridCol w:w="1080"/>
        <w:gridCol w:w="1424"/>
        <w:gridCol w:w="1350"/>
        <w:gridCol w:w="1185"/>
        <w:gridCol w:w="1200"/>
      </w:tblGrid>
      <w:tr>
        <w:trPr>
          <w:tblHeader w:val="true"/>
          <w:trHeight w:val="333" w:hRule="atLeast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widowControl w:val="false"/>
              <w:suppressLineNumbers/>
              <w:suppressAutoHyphens w:val="true"/>
              <w:bidi w:val="0"/>
              <w:spacing w:lineRule="auto" w:line="240"/>
              <w:ind w:left="-510" w:right="0" w:hanging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bCs w:val="false"/>
                <w:sz w:val="16"/>
                <w:szCs w:val="16"/>
                <w:lang w:val="en-GB"/>
              </w:rPr>
              <w:t>Indicator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widowControl w:val="false"/>
              <w:bidi w:val="0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bCs w:val="false"/>
                <w:sz w:val="16"/>
                <w:szCs w:val="16"/>
                <w:lang w:val="en-GB"/>
              </w:rPr>
              <w:t xml:space="preserve">Layer name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widowControl w:val="false"/>
              <w:bidi w:val="0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bCs w:val="false"/>
                <w:sz w:val="16"/>
                <w:szCs w:val="16"/>
                <w:lang w:val="en-GB"/>
              </w:rPr>
              <w:t>Variable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widowControl w:val="false"/>
              <w:bidi w:val="0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bCs w:val="false"/>
                <w:sz w:val="16"/>
                <w:szCs w:val="16"/>
                <w:lang w:val="en-GB"/>
              </w:rPr>
              <w:t>Unit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widowControl w:val="false"/>
              <w:bidi w:val="0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bCs w:val="false"/>
                <w:sz w:val="16"/>
                <w:szCs w:val="16"/>
                <w:lang w:val="en-GB"/>
              </w:rPr>
              <w:t xml:space="preserve">Portal section 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widowControl w:val="false"/>
              <w:bidi w:val="0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bCs w:val="false"/>
                <w:sz w:val="16"/>
                <w:szCs w:val="16"/>
                <w:lang w:val="en-GB"/>
              </w:rPr>
              <w:t>Role in model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widowControl w:val="false"/>
              <w:bidi w:val="0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bCs w:val="false"/>
                <w:sz w:val="16"/>
                <w:szCs w:val="16"/>
                <w:lang w:val="en-GB"/>
              </w:rPr>
              <w:t xml:space="preserve">Pre-processing </w:t>
            </w:r>
          </w:p>
        </w:tc>
      </w:tr>
      <w:tr>
        <w:trPr>
          <w:trHeight w:val="577" w:hRule="atLeast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Socio-economic development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sz w:val="16"/>
                <w:szCs w:val="16"/>
              </w:rPr>
            </w:pPr>
            <w:r>
              <w:rPr>
                <w:rStyle w:val="Strong"/>
                <w:rFonts w:cs="Times New Roman" w:ascii="Palatino Linotype" w:hAnsi="Palatino Linotype"/>
                <w:b w:val="false"/>
                <w:sz w:val="16"/>
                <w:szCs w:val="16"/>
                <w:lang w:val="en-GB"/>
              </w:rPr>
              <w:t>Socio-economic development index of regions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O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dimen-sionless (index)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Socio-economic indicators: Regional development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Component of T (Eq. 2)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Min–max normalization; area-weighted aggregation to districts</w:t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Industrial pressure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sz w:val="16"/>
                <w:szCs w:val="16"/>
              </w:rPr>
            </w:pPr>
            <w:r>
              <w:rPr>
                <w:rStyle w:val="Strong"/>
                <w:rFonts w:cs="Times New Roman" w:ascii="Palatino Linotype" w:hAnsi="Palatino Linotype"/>
                <w:b w:val="false"/>
                <w:sz w:val="16"/>
                <w:szCs w:val="16"/>
                <w:lang w:val="en-GB"/>
              </w:rPr>
              <w:t>Density of industrial and energy facilities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O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facilities·km⁻²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Technogenic load: Industrial infrastructure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Component of O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Kernel density, district mean</w:t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Air conta-mination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sz w:val="16"/>
                <w:szCs w:val="16"/>
              </w:rPr>
            </w:pPr>
            <w:r>
              <w:rPr>
                <w:rStyle w:val="Strong"/>
                <w:rFonts w:cs="Times New Roman" w:ascii="Palatino Linotype" w:hAnsi="Palatino Linotype"/>
                <w:b w:val="false"/>
                <w:sz w:val="16"/>
                <w:szCs w:val="16"/>
                <w:lang w:val="en-GB"/>
              </w:rPr>
              <w:t xml:space="preserve">Atmo-spheric air quality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Z</w:t>
            </w:r>
            <w:r>
              <w:rPr>
                <w:rFonts w:cs="Times New Roman" w:ascii="Palatino Linotype" w:hAnsi="Palatino Linotype"/>
                <w:sz w:val="16"/>
                <w:szCs w:val="16"/>
                <w:vertAlign w:val="subscript"/>
                <w:lang w:val="en-GB"/>
              </w:rPr>
              <w:t>air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μg·m⁻³ (normalized)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Air quality monitoring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Component of Z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Temporal averaging; min–max scaling</w:t>
            </w:r>
          </w:p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Surface water pollution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sz w:val="16"/>
                <w:szCs w:val="16"/>
              </w:rPr>
            </w:pPr>
            <w:r>
              <w:rPr>
                <w:rStyle w:val="Strong"/>
                <w:rFonts w:cs="Times New Roman" w:ascii="Palatino Linotype" w:hAnsi="Palatino Linotype"/>
                <w:b w:val="false"/>
                <w:sz w:val="16"/>
                <w:szCs w:val="16"/>
                <w:lang w:val="en-GB"/>
              </w:rPr>
              <w:t>Surface water quality status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Z</w:t>
            </w:r>
            <w:r>
              <w:rPr>
                <w:rFonts w:cs="Times New Roman" w:ascii="Palatino Linotype" w:hAnsi="Palatino Linotype"/>
                <w:sz w:val="16"/>
                <w:szCs w:val="16"/>
                <w:vertAlign w:val="subscript"/>
                <w:lang w:val="en-GB"/>
              </w:rPr>
              <w:t>water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class / index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Water resources: Monitoring of surface waters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Component of Z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Class, numeric score; normalization</w:t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Soil conta-mination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sz w:val="16"/>
                <w:szCs w:val="16"/>
              </w:rPr>
            </w:pPr>
            <w:r>
              <w:rPr>
                <w:rStyle w:val="Strong"/>
                <w:rFonts w:cs="Times New Roman" w:ascii="Palatino Linotype" w:hAnsi="Palatino Linotype"/>
                <w:b w:val="false"/>
                <w:sz w:val="16"/>
                <w:szCs w:val="16"/>
                <w:lang w:val="en-GB"/>
              </w:rPr>
              <w:t>Soil contamination and degradation map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Z</w:t>
            </w:r>
            <w:r>
              <w:rPr>
                <w:rFonts w:cs="Times New Roman" w:ascii="Palatino Linotype" w:hAnsi="Palatino Linotype"/>
                <w:sz w:val="16"/>
                <w:szCs w:val="16"/>
                <w:vertAlign w:val="subscript"/>
                <w:lang w:val="en-GB"/>
              </w:rPr>
              <w:t>soil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relative index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Soils: Degradation and pollution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Com-ponent of Z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Direct use; min–max scaling</w:t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Fire / explo-sion proxy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sz w:val="16"/>
                <w:szCs w:val="16"/>
              </w:rPr>
            </w:pPr>
            <w:r>
              <w:rPr>
                <w:rStyle w:val="Strong"/>
                <w:rFonts w:cs="Times New Roman" w:ascii="Palatino Linotype" w:hAnsi="Palatino Linotype"/>
                <w:b w:val="false"/>
                <w:sz w:val="16"/>
                <w:szCs w:val="16"/>
                <w:lang w:val="en-GB"/>
              </w:rPr>
              <w:t xml:space="preserve">Active fires and thermal anomalies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Z</w:t>
            </w:r>
            <w:r>
              <w:rPr>
                <w:rFonts w:cs="Times New Roman" w:ascii="Palatino Linotype" w:hAnsi="Palatino Linotype"/>
                <w:sz w:val="16"/>
                <w:szCs w:val="16"/>
                <w:vertAlign w:val="subscript"/>
                <w:lang w:val="en-GB"/>
              </w:rPr>
              <w:t>fire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counts·km⁻²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Fire monitoring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Proxy for wartime Z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Density calculation; normalization</w:t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Total contamination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sz w:val="16"/>
                <w:szCs w:val="16"/>
              </w:rPr>
            </w:pPr>
            <w:r>
              <w:rPr>
                <w:rStyle w:val="Strong"/>
                <w:rFonts w:cs="Times New Roman" w:ascii="Palatino Linotype" w:hAnsi="Palatino Linotype"/>
                <w:b w:val="false"/>
                <w:sz w:val="16"/>
                <w:szCs w:val="16"/>
                <w:lang w:val="en-GB"/>
              </w:rPr>
              <w:t>Integrated environ-mental contamination index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Z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dimensionless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-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Component of T (Eq. 2)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Z = Z</w:t>
            </w:r>
            <w:r>
              <w:rPr>
                <w:rFonts w:cs="Times New Roman" w:ascii="Palatino Linotype" w:hAnsi="Palatino Linotype"/>
                <w:sz w:val="16"/>
                <w:szCs w:val="16"/>
                <w:vertAlign w:val="subscript"/>
                <w:lang w:val="en-GB"/>
              </w:rPr>
              <w:t xml:space="preserve">air </w:t>
            </w: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+ Z</w:t>
            </w:r>
            <w:r>
              <w:rPr>
                <w:rFonts w:cs="Times New Roman" w:ascii="Palatino Linotype" w:hAnsi="Palatino Linotype"/>
                <w:sz w:val="16"/>
                <w:szCs w:val="16"/>
                <w:vertAlign w:val="subscript"/>
                <w:lang w:val="en-GB"/>
              </w:rPr>
              <w:t>water</w:t>
            </w: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 xml:space="preserve"> + Z</w:t>
            </w:r>
            <w:r>
              <w:rPr>
                <w:rFonts w:cs="Times New Roman" w:ascii="Palatino Linotype" w:hAnsi="Palatino Linotype"/>
                <w:sz w:val="16"/>
                <w:szCs w:val="16"/>
                <w:vertAlign w:val="subscript"/>
                <w:lang w:val="en-GB"/>
              </w:rPr>
              <w:t xml:space="preserve">soil </w:t>
            </w:r>
            <w:r>
              <w:rPr>
                <w:rFonts w:cs="Times New Roman" w:ascii="Palatino Linotype" w:hAnsi="Palatino Linotype"/>
                <w:sz w:val="16"/>
                <w:szCs w:val="16"/>
                <w:lang w:val="en-US"/>
              </w:rPr>
              <w:t>(</w:t>
            </w: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+ Z</w:t>
            </w:r>
            <w:r>
              <w:rPr>
                <w:rFonts w:cs="Times New Roman" w:ascii="Palatino Linotype" w:hAnsi="Palatino Linotype"/>
                <w:sz w:val="16"/>
                <w:szCs w:val="16"/>
                <w:vertAlign w:val="subscript"/>
                <w:lang w:val="en-GB"/>
              </w:rPr>
              <w:t>fire</w:t>
            </w: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 xml:space="preserve"> proxy)</w:t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Radio-logical conta-mination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sz w:val="16"/>
                <w:szCs w:val="16"/>
              </w:rPr>
            </w:pPr>
            <w:r>
              <w:rPr>
                <w:rStyle w:val="Strong"/>
                <w:rFonts w:cs="Times New Roman" w:ascii="Palatino Linotype" w:hAnsi="Palatino Linotype"/>
                <w:b w:val="false"/>
                <w:sz w:val="16"/>
                <w:szCs w:val="16"/>
                <w:lang w:val="en-GB"/>
              </w:rPr>
              <w:t>Radio-logical contamination density map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Z</w:t>
            </w:r>
            <w:r>
              <w:rPr>
                <w:rFonts w:cs="Times New Roman" w:ascii="Palatino Linotype" w:hAnsi="Palatino Linotype"/>
                <w:sz w:val="16"/>
                <w:szCs w:val="16"/>
                <w:vertAlign w:val="subscript"/>
                <w:lang w:val="en-GB"/>
              </w:rPr>
              <w:t>r</w:t>
            </w: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, Z</w:t>
            </w:r>
            <w:r>
              <w:rPr>
                <w:rFonts w:cs="Times New Roman" w:ascii="Palatino Linotype" w:hAnsi="Palatino Linotype"/>
                <w:sz w:val="16"/>
                <w:szCs w:val="16"/>
                <w:vertAlign w:val="subscript"/>
                <w:lang w:val="en-GB"/>
              </w:rPr>
              <w:t>u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Bq·m⁻² (normalized)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Radiation monitoring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Component of R</w:t>
            </w:r>
            <w:r>
              <w:rPr>
                <w:rFonts w:cs="Times New Roman" w:ascii="Palatino Linotype" w:hAnsi="Palatino Linotype"/>
                <w:sz w:val="16"/>
                <w:szCs w:val="16"/>
                <w:vertAlign w:val="subscript"/>
                <w:lang w:val="en-GB"/>
              </w:rPr>
              <w:t>rad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Normalized to national mean</w:t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Popu-lation exposure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sz w:val="16"/>
                <w:szCs w:val="16"/>
              </w:rPr>
            </w:pPr>
            <w:r>
              <w:rPr>
                <w:rStyle w:val="Strong"/>
                <w:rFonts w:cs="Times New Roman" w:ascii="Palatino Linotype" w:hAnsi="Palatino Linotype"/>
                <w:b w:val="false"/>
                <w:sz w:val="16"/>
                <w:szCs w:val="16"/>
                <w:lang w:val="en-GB"/>
              </w:rPr>
              <w:t>Population density by admi-nistrative units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N</w:t>
            </w:r>
            <w:r>
              <w:rPr>
                <w:rFonts w:cs="Times New Roman" w:ascii="Palatino Linotype" w:hAnsi="Palatino Linotype"/>
                <w:sz w:val="16"/>
                <w:szCs w:val="16"/>
                <w:vertAlign w:val="subscript"/>
                <w:lang w:val="en-GB"/>
              </w:rPr>
              <w:t>r</w:t>
            </w: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, N</w:t>
            </w:r>
            <w:r>
              <w:rPr>
                <w:rFonts w:cs="Times New Roman" w:ascii="Palatino Linotype" w:hAnsi="Palatino Linotype"/>
                <w:sz w:val="16"/>
                <w:szCs w:val="16"/>
                <w:vertAlign w:val="subscript"/>
                <w:lang w:val="en-GB"/>
              </w:rPr>
              <w:t>u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persons·km⁻²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Population statistics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Component of R</w:t>
            </w:r>
            <w:r>
              <w:rPr>
                <w:rFonts w:cs="Times New Roman" w:ascii="Palatino Linotype" w:hAnsi="Palatino Linotype"/>
                <w:sz w:val="16"/>
                <w:szCs w:val="16"/>
                <w:vertAlign w:val="subscript"/>
                <w:lang w:val="en-GB"/>
              </w:rPr>
              <w:t>rad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Direct use; normalization</w:t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Atmo-spheric resilience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sz w:val="16"/>
                <w:szCs w:val="16"/>
              </w:rPr>
            </w:pPr>
            <w:r>
              <w:rPr>
                <w:rStyle w:val="Strong"/>
                <w:rFonts w:cs="Times New Roman" w:ascii="Palatino Linotype" w:hAnsi="Palatino Linotype"/>
                <w:b w:val="false"/>
                <w:sz w:val="16"/>
                <w:szCs w:val="16"/>
                <w:lang w:val="en-GB"/>
              </w:rPr>
              <w:t>Meteorological self-purifi-cation potential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P₁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index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Climate &amp; atmosphere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Component of 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Normalization</w:t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Hydro-logical resilience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sz w:val="16"/>
                <w:szCs w:val="16"/>
              </w:rPr>
            </w:pPr>
            <w:r>
              <w:rPr>
                <w:rStyle w:val="Strong"/>
                <w:rFonts w:cs="Times New Roman" w:ascii="Palatino Linotype" w:hAnsi="Palatino Linotype"/>
                <w:b w:val="false"/>
                <w:sz w:val="16"/>
                <w:szCs w:val="16"/>
                <w:lang w:val="en-GB"/>
              </w:rPr>
              <w:t>Hydro-logical stability of surface waters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P₂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index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Water resources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Component of 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Normalization</w:t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Soil resilience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sz w:val="16"/>
                <w:szCs w:val="16"/>
              </w:rPr>
            </w:pPr>
            <w:r>
              <w:rPr>
                <w:rStyle w:val="Strong"/>
                <w:rFonts w:cs="Times New Roman" w:ascii="Palatino Linotype" w:hAnsi="Palatino Linotype"/>
                <w:b w:val="false"/>
                <w:sz w:val="16"/>
                <w:szCs w:val="16"/>
                <w:lang w:val="en-GB"/>
              </w:rPr>
              <w:t>Soil self-recovery capacity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P₃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index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Soils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Component of 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Normalization</w:t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Biotic resilience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sz w:val="16"/>
                <w:szCs w:val="16"/>
              </w:rPr>
            </w:pPr>
            <w:r>
              <w:rPr>
                <w:rStyle w:val="Strong"/>
                <w:rFonts w:cs="Times New Roman" w:ascii="Palatino Linotype" w:hAnsi="Palatino Linotype"/>
                <w:b w:val="false"/>
                <w:sz w:val="16"/>
                <w:szCs w:val="16"/>
                <w:lang w:val="en-GB"/>
              </w:rPr>
              <w:t>Biodiversity and ecosystem stability index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P₄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index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Biodiversity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Component of 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cs="Times New Roman" w:ascii="Palatino Linotype" w:hAnsi="Palatino Linotype"/>
                <w:sz w:val="16"/>
                <w:szCs w:val="16"/>
                <w:lang w:val="en-GB"/>
              </w:rPr>
              <w:t>Normalization</w:t>
            </w:r>
          </w:p>
        </w:tc>
      </w:tr>
    </w:tbl>
    <w:p>
      <w:pPr>
        <w:pStyle w:val="MDPI52figure"/>
        <w:ind w:hanging="0"/>
        <w:jc w:val="left"/>
        <w:rPr>
          <w:b/>
          <w:b/>
        </w:rPr>
      </w:pPr>
      <w:r>
        <w:rPr/>
        <w:drawing>
          <wp:inline distT="0" distB="0" distL="0" distR="0">
            <wp:extent cx="6383020" cy="2197735"/>
            <wp:effectExtent l="0" t="0" r="0" b="0"/>
            <wp:docPr id="1" name="Зображення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7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3020" cy="2197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MDPI52figure"/>
        <w:spacing w:before="57" w:after="119"/>
        <w:ind w:hanging="0"/>
        <w:jc w:val="left"/>
        <w:rPr>
          <w:sz w:val="18"/>
          <w:szCs w:val="18"/>
        </w:rPr>
      </w:pPr>
      <w:r>
        <w:rPr>
          <w:b/>
          <w:sz w:val="18"/>
          <w:szCs w:val="18"/>
          <w:lang w:val="en-GB"/>
        </w:rPr>
        <w:t xml:space="preserve">Figure </w:t>
      </w:r>
      <w:r>
        <w:rPr>
          <w:b/>
          <w:sz w:val="18"/>
          <w:szCs w:val="18"/>
          <w:lang w:val="uk-UA"/>
        </w:rPr>
        <w:t>В1</w:t>
      </w:r>
      <w:r>
        <w:rPr>
          <w:b/>
          <w:sz w:val="18"/>
          <w:szCs w:val="18"/>
          <w:lang w:val="en-GB"/>
        </w:rPr>
        <w:t xml:space="preserve">. </w:t>
      </w:r>
      <w:r>
        <w:rPr>
          <w:sz w:val="18"/>
          <w:szCs w:val="18"/>
          <w:lang w:val="en-GB"/>
        </w:rPr>
        <w:t>Analytical workflow of this study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Palatino Linotype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uk-UA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uk-UA" w:eastAsia="zh-CN" w:bidi="hi-IN"/>
    </w:rPr>
  </w:style>
  <w:style w:type="character" w:styleId="DefaultParagraphFont">
    <w:name w:val="Default Paragraph Font"/>
    <w:qFormat/>
    <w:rPr/>
  </w:style>
  <w:style w:type="character" w:styleId="Strong">
    <w:name w:val="Strong"/>
    <w:basedOn w:val="DefaultParagraphFont"/>
    <w:qFormat/>
    <w:rPr>
      <w:b/>
      <w:bCs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Покажчик"/>
    <w:basedOn w:val="Normal"/>
    <w:qFormat/>
    <w:pPr>
      <w:suppressLineNumbers/>
    </w:pPr>
    <w:rPr>
      <w:rFonts w:cs="Arial"/>
    </w:rPr>
  </w:style>
  <w:style w:type="paragraph" w:styleId="MDPI52figure">
    <w:name w:val="MDPI_5.2_figure"/>
    <w:qFormat/>
    <w:pPr>
      <w:widowControl/>
      <w:suppressAutoHyphens w:val="true"/>
      <w:bidi w:val="0"/>
      <w:snapToGrid w:val="false"/>
      <w:spacing w:before="240" w:after="120"/>
      <w:jc w:val="center"/>
    </w:pPr>
    <w:rPr>
      <w:rFonts w:ascii="Palatino Linotype" w:hAnsi="Palatino Linotype" w:eastAsia="Times New Roman" w:cs="Times New Roman"/>
      <w:color w:val="000000"/>
      <w:kern w:val="0"/>
      <w:sz w:val="20"/>
      <w:szCs w:val="20"/>
      <w:lang w:val="en-US" w:eastAsia="de-DE" w:bidi="en-US"/>
    </w:rPr>
  </w:style>
  <w:style w:type="paragraph" w:styleId="MDPI62backmatter">
    <w:name w:val="MDPI_6.2_back_matter"/>
    <w:qFormat/>
    <w:pPr>
      <w:widowControl/>
      <w:suppressAutoHyphens w:val="true"/>
      <w:bidi w:val="0"/>
      <w:snapToGrid w:val="false"/>
      <w:spacing w:lineRule="atLeast" w:line="280" w:before="0" w:after="120"/>
      <w:ind w:left="2608" w:hanging="0"/>
      <w:jc w:val="both"/>
    </w:pPr>
    <w:rPr>
      <w:rFonts w:ascii="Palatino Linotype" w:hAnsi="Palatino Linotype" w:eastAsia="Times New Roman" w:cs="Times New Roman"/>
      <w:color w:val="000000"/>
      <w:kern w:val="0"/>
      <w:sz w:val="18"/>
      <w:szCs w:val="20"/>
      <w:lang w:val="en-US" w:eastAsia="en-US" w:bidi="en-US"/>
    </w:rPr>
  </w:style>
  <w:style w:type="paragraph" w:styleId="Style19">
    <w:name w:val="Вміст таблиці"/>
    <w:basedOn w:val="Normal"/>
    <w:qFormat/>
    <w:pPr>
      <w:widowControl w:val="false"/>
      <w:suppressLineNumbers/>
      <w:suppressAutoHyphens w:val="true"/>
      <w:spacing w:lineRule="auto" w:line="24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uk-UA" w:bidi="hi-IN"/>
    </w:rPr>
  </w:style>
  <w:style w:type="paragraph" w:styleId="Style20">
    <w:name w:val="Заголовок таблиці"/>
    <w:basedOn w:val="Style19"/>
    <w:qFormat/>
    <w:pPr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LibreOffice/7.1.0.3$Windows_X86_64 LibreOffice_project/f6099ecf3d29644b5008cc8f48f42f4a40986e4c</Application>
  <AppVersion>15.0000</AppVersion>
  <Pages>1</Pages>
  <Words>291</Words>
  <Characters>1861</Characters>
  <CharactersWithSpaces>2045</CharactersWithSpaces>
  <Paragraphs>102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2026-02-22T08:08:53Z</dcterms:created>
  <dc:creator/>
  <dc:description/>
  <dc:language>uk-UA</dc:language>
  <cp:lastModifiedBy/>
  <dcterms:modified xsi:type="dcterms:W3CDTF">2026-02-22T08:10:27Z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